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1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Financieel overzicht facturen aanvraag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15/17-december/19:30/Aanvraag-suppletie-kosten-opsporing-niet-gesprongen-explosieven/Financieel-overzicht-facturen-aanvraa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Conceptbrief aan ministerie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15/17-december/19:30/Aanvraag-suppletie-kosten-opsporing-niet-gesprongen-explosieven/Conceptbrief-aan-minister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Tarieventabel legesverordening totaal 2016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157,43 KB</text:p>
          </table:table-cell>
          <table:table-cell table:style-name="Table3.A2" office:value-type="string">
            <text:p text:style-name="P22">
              <text:a xlink:type="simple" xlink:href="https://besluitvorming.doetinchem.nl/Vergaderingen/beeldvormende-raad/2015/03-december/19:30/Belastingverordeningen-2016-1/Tarieventabel-legesverordening-totaal-2016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besluitenlijst b&amp;amp;w 03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13-11-2015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302,14 KB</text:p>
          </table:table-cell>
          <table:table-cell table:style-name="Table3.A2" office:value-type="string">
            <text:p text:style-name="P22">
              <text:a xlink:type="simple" xlink:href="https://besluitvorming.doetinchem.nl/Vergaderingen/college-van-b-w/2015/03-november/09:30/openbare-besluitenlijst-b-w-03-november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inspraakreactie Spexgoor Zienswijze nr 7 bp 2015
              <text:span text:style-name="T2"/>
            </text:p>
            <text:p text:style-name="P3"/>
          </table:table-cell>
          <table:table-cell table:style-name="Table3.A2" office:value-type="string">
            <text:p text:style-name="P4">03-10-2015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342,98 KB</text:p>
          </table:table-cell>
          <table:table-cell table:style-name="Table3.A2" office:value-type="string">
            <text:p text:style-name="P22">
              <text:a xlink:type="simple" xlink:href="https://besluitvorming.doetinchem.nl/Vergaderingen/beeldvormende-raad/2015/22-oktober/19:30/Bestemmingsplan-Buitengebied-2012/Schriftelijke-inspraakreactie-Spexgoor-Zienswijze-nr-7-bp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besluitvorming.doetinchem.nl/Vergaderingen/informatieve-raadsbijeenkomst/2015/08-oktober/19:30/Programmabegroting-2016/Programmabegroting-20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Kerntakendiscussie 19-03-15 PvdA inzake diverse gevolgen voor Cultuurcluster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15/28-mei/19:30/Voorjaarsnota-2015/Motie-Kerntakendiscussie-19-03-15-PvdA-inzake-diverse-gevolgen-voor-Cultuurcluster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7" meta:character-count="674" meta:non-whitespace-character-count="6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